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auto" w:line="240" w:before="0" w:after="0"/>
        <w:ind w:right="0" w:left="0" w:firstLine="0"/>
        <w:rPr>
          <w:b w:val="1"/>
          <w:color w:val="auto"/>
          <w:position w:val="0"/>
          <w:sz w:val="30"/>
          <w:szCs w:val="3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Times New Roman" w:eastAsia="Times New Roman" w:hAnsi="Times New Roman" w:hint="default"/>
        </w:rPr>
        <w:t>2018-2019学年第二学期《物理实验2》课程表（科学校区）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Times New Roman" w:eastAsia="맑은 고딕" w:hAnsi="맑은 고딕" w:hint="default"/>
        </w:rPr>
        <w:t>一、</w:t>
      </w:r>
      <w:r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班级分组</w:t>
      </w:r>
    </w:p>
    <w:tbl>
      <w:tblID w:val="0"/>
      <w:tblPr>
        <w:tblpPr w:leftFromText="180" w:rightFromText="180" w:vertAnchor="text" w:horzAnchor="margin" w:tblpXSpec="center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5212" w:type="dxa"/>
        <w:tblLook w:val="0004A0" w:firstRow="1" w:lastRow="0" w:firstColumn="1" w:lastColumn="0" w:noHBand="0" w:noVBand="1"/>
        <w:tblLayout w:type="fixed"/>
      </w:tblPr>
      <w:tblGrid>
        <w:gridCol w:w="997"/>
        <w:gridCol w:w="1418"/>
        <w:gridCol w:w="1442"/>
        <w:gridCol w:w="1400"/>
        <w:gridCol w:w="1410"/>
        <w:gridCol w:w="1408"/>
        <w:gridCol w:w="1442"/>
        <w:gridCol w:w="1403"/>
        <w:gridCol w:w="1417"/>
        <w:gridCol w:w="1405"/>
        <w:gridCol w:w="147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75"/>
          <w:cantSplit/>
          <w:hidden w:val="0"/>
        </w:trPr>
        <w:tc>
          <w:tcPr>
            <w:tcW w:type="dxa" w:w="997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tcBorders>
              <w:tl2br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36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时间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分组</w:t>
            </w:r>
          </w:p>
        </w:tc>
        <w:tc>
          <w:tcPr>
            <w:tcW w:type="dxa" w:w="141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上午</w:t>
            </w:r>
          </w:p>
        </w:tc>
        <w:tc>
          <w:tcPr>
            <w:tcW w:type="dxa" w:w="144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下午</w:t>
            </w:r>
          </w:p>
        </w:tc>
        <w:tc>
          <w:tcPr>
            <w:tcW w:type="dxa" w:w="140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晚上</w:t>
            </w:r>
          </w:p>
        </w:tc>
        <w:tc>
          <w:tcPr>
            <w:tcW w:type="dxa" w:w="141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上午</w:t>
            </w:r>
          </w:p>
        </w:tc>
        <w:tc>
          <w:tcPr>
            <w:tcW w:type="dxa" w:w="14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下午</w:t>
            </w:r>
          </w:p>
        </w:tc>
        <w:tc>
          <w:tcPr>
            <w:tcW w:type="dxa" w:w="144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晚上</w:t>
            </w:r>
          </w:p>
        </w:tc>
        <w:tc>
          <w:tcPr>
            <w:tcW w:type="dxa" w:w="140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上午</w:t>
            </w:r>
          </w:p>
        </w:tc>
        <w:tc>
          <w:tcPr>
            <w:tcW w:type="dxa" w:w="141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下午</w:t>
            </w:r>
          </w:p>
        </w:tc>
        <w:tc>
          <w:tcPr>
            <w:tcW w:type="dxa" w:w="140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上午</w:t>
            </w:r>
          </w:p>
        </w:tc>
        <w:tc>
          <w:tcPr>
            <w:tcW w:type="dxa" w:w="147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周四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113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晚上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95"/>
          <w:hidden w:val="0"/>
        </w:trPr>
        <w:tc>
          <w:tcPr>
            <w:tcW w:type="dxa" w:w="9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I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精化17-1（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52）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高分子17-1（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5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4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[4-11周]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能源17-1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58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人）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[3-4,9-14周]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计算机17-1(</w:t>
            </w: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1</w:t>
            </w: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-60)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生工17-1（4）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[3-6,8-1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0,12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周]</w:t>
            </w: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烟草17-1（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28）烟工程17-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1（32+4）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【3-8,10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,13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周】</w:t>
            </w:r>
          </w:p>
        </w:tc>
        <w:tc>
          <w:tcPr>
            <w:tcW w:type="dxa" w:w="14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建筑电气17-1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（44+1）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[3-10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嵌入式17-1（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49人）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 xml:space="preserve">【3-10周】 </w:t>
            </w:r>
          </w:p>
        </w:tc>
        <w:tc>
          <w:tcPr>
            <w:tcW w:type="dxa" w:w="14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软工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17-2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（47）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3G软件17-1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（49+1）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【3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,7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-1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3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周】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91"/>
          <w:hidden w:val="0"/>
        </w:trPr>
        <w:tc>
          <w:tcPr>
            <w:tcW w:type="dxa" w:w="9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指导教师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冯学超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刘海增（3,4）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翟玉生（5,6）</w:t>
            </w: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冯学超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刘海增（3,4）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翟玉生（5,6）</w:t>
            </w:r>
          </w:p>
        </w:tc>
        <w:tc>
          <w:tcPr>
            <w:tcW w:type="dxa" w:w="14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冯学超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刘海增（3,4）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翟玉生（5,6）</w:t>
            </w:r>
          </w:p>
        </w:tc>
        <w:tc>
          <w:tcPr>
            <w:tcW w:type="dxa" w:w="14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张瑞亮（1,2）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耿利杰（3,4）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朱祥（5,6）</w:t>
            </w:r>
          </w:p>
        </w:tc>
        <w:tc>
          <w:tcPr>
            <w:tcW w:type="dxa" w:w="14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张瑞亮（1,2）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耿利杰（3,4）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朱祥（5,6）</w:t>
            </w: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张瑞亮（1,2）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耿利杰（3,4）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朱祥（5,6）</w:t>
            </w:r>
          </w:p>
        </w:tc>
        <w:tc>
          <w:tcPr>
            <w:tcW w:type="dxa" w:w="14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翟凤潇（1,2）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刘德伟（3,4）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杨鹏（5,6）</w:t>
            </w: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翟凤潇（1,2）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刘德伟（3,4）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杨鹏（5,6）</w:t>
            </w:r>
          </w:p>
        </w:tc>
        <w:tc>
          <w:tcPr>
            <w:tcW w:type="dxa" w:w="14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杨红军（1,2）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常同钦（3,4）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杨鹏（5,6）</w:t>
            </w:r>
          </w:p>
        </w:tc>
        <w:tc>
          <w:tcPr>
            <w:tcW w:type="dxa" w:w="14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杨红军（1,2）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常同钦（3,4）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杨鹏（5,6）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54"/>
          <w:hidden w:val="0"/>
        </w:trPr>
        <w:tc>
          <w:tcPr>
            <w:tcW w:type="dxa" w:w="9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II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新材器17-1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（52）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高分子17-2（</w:t>
            </w: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5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6）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[4-11周]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能源17-2（3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2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[3-4,9-14周]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食质17-1（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4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7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计算机17-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1(61-7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3</w:t>
            </w: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)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</w:tc>
        <w:tc>
          <w:tcPr>
            <w:tcW w:type="dxa" w:w="14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食品17-1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（31+8人）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highlight w:val="yellow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Times New Roman" w:eastAsia="Times New Roman" w:hAnsi="Times New Roman" w:hint="default"/>
              </w:rPr>
              <w:t>[3-4,6-11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Times New Roman" w:eastAsia="Times New Roman" w:hAnsi="Times New Roman" w:hint="default"/>
              </w:rPr>
              <w:t>]</w:t>
            </w: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过程装备17-1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（46-1）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[3-4,9-14周]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b w:val="1"/>
                <w:color w:val="000000" w:themeColor="text1"/>
                <w:position w:val="0"/>
                <w:sz w:val="18"/>
                <w:szCs w:val="18"/>
                <w:highlight w:val="yellow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建筑电气17-2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（44人）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18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18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Times New Roman" w:hAnsi="Times New Roman" w:hint="default"/>
              </w:rPr>
              <w:t>[3-10周]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嵌入式17-2（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44-2人）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</w:tc>
        <w:tc>
          <w:tcPr>
            <w:tcW w:type="dxa" w:w="14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软工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17-4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（47）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3G软件17-2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（49+1）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【3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,7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-1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3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周】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3"/>
          <w:hidden w:val="0"/>
        </w:trPr>
        <w:tc>
          <w:tcPr>
            <w:tcW w:type="dxa" w:w="9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指导教师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刘楠楠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张腊梅（3,4）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贾永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（5,6）</w:t>
            </w: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刘楠楠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张腊梅（3,4）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贾永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（5,6）</w:t>
            </w:r>
          </w:p>
        </w:tc>
        <w:tc>
          <w:tcPr>
            <w:tcW w:type="dxa" w:w="14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刘楠楠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张腊梅（3,4）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翟学珍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t>李强（3,4）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t>贾永（5,6）</w:t>
            </w:r>
          </w:p>
        </w:tc>
        <w:tc>
          <w:tcPr>
            <w:tcW w:type="dxa" w:w="14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000000" w:themeColor="text1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000000" w:themeColor="text1"/>
                <w:position w:val="0"/>
                <w:sz w:val="18"/>
                <w:szCs w:val="18"/>
                <w:smallCaps w:val="0"/>
                <w:rFonts w:ascii="宋体" w:eastAsia="宋体" w:hAnsi="宋体" w:hint="default"/>
              </w:rPr>
              <w:t>翟学珍（1,2）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李强（3,4）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翟学珍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李强（3,4）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贾永（5,6）</w:t>
            </w:r>
          </w:p>
        </w:tc>
        <w:tc>
          <w:tcPr>
            <w:tcW w:type="dxa" w:w="14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袁耀光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运高谦（3,4）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袁耀光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运高谦（3,4）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龚高尚（1,2）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运高谦（3,4）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谢罗刚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（5,6）</w:t>
            </w:r>
          </w:p>
        </w:tc>
        <w:tc>
          <w:tcPr>
            <w:tcW w:type="dxa" w:w="14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龚高尚（1,2）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运高谦（3,4）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谢罗刚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（5,6）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22"/>
          <w:hidden w:val="0"/>
        </w:trPr>
        <w:tc>
          <w:tcPr>
            <w:tcW w:type="dxa" w:w="997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III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应化17-1（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5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1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电科、材料17-</w:t>
            </w: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1((3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3</w:t>
            </w: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+2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5</w:t>
            </w: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 xml:space="preserve">)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通信工程17-1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（29）电信工程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17-1（3</w:t>
            </w:r>
            <w:r>
              <w:rPr>
                <w:color w:val="000000" w:themeColor="text1"/>
                <w:position w:val="0"/>
                <w:sz w:val="18"/>
                <w:szCs w:val="18"/>
                <w:rFonts w:ascii="等线" w:eastAsia="等线" w:hAnsi="等线" w:hint="default"/>
              </w:rPr>
              <w:t>2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周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】</w:t>
            </w:r>
          </w:p>
        </w:tc>
        <w:tc>
          <w:tcPr>
            <w:tcW w:type="dxa" w:w="1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网络工程17-1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（5</w:t>
            </w:r>
            <w:r>
              <w:rPr>
                <w:color w:val="auto"/>
                <w:position w:val="0"/>
                <w:sz w:val="18"/>
                <w:szCs w:val="18"/>
                <w:rFonts w:ascii="等线" w:eastAsia="等线" w:hAnsi="等线" w:hint="default"/>
              </w:rPr>
              <w:t>6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</w:tc>
        <w:tc>
          <w:tcPr>
            <w:tcW w:type="dxa" w:w="14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食品17-2（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40+2人）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highlight w:val="yellow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Times New Roman" w:eastAsia="Times New Roman" w:hAnsi="Times New Roman" w:hint="default"/>
              </w:rPr>
              <w:t>[3-4,6-11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Times New Roman" w:eastAsia="Times New Roman" w:hAnsi="Times New Roman" w:hint="default"/>
              </w:rPr>
              <w:t>]</w:t>
            </w:r>
          </w:p>
        </w:tc>
        <w:tc>
          <w:tcPr>
            <w:tcW w:type="dxa" w:w="14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物联网工程17-</w:t>
            </w:r>
            <w:r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t>1（56+3）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</w:tc>
        <w:tc>
          <w:tcPr>
            <w:tcW w:type="dxa" w:w="140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建环17-1（54）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[4-11周]</w:t>
            </w: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软工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17-1（47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-1）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0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软工</w:t>
            </w: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17-3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（47）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【3-10周】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 w:color="FFFFFF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环工17-1（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29）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[3,6-1</w:t>
            </w:r>
            <w:r>
              <w:rPr>
                <w:color w:val="000000" w:themeColor="text1"/>
                <w:position w:val="0"/>
                <w:sz w:val="18"/>
                <w:szCs w:val="18"/>
                <w:highlight w:val="yellow"/>
                <w:rFonts w:ascii="宋体" w:eastAsia="맑은 고딕" w:hAnsi="맑은 고딕" w:hint="default"/>
              </w:rPr>
              <w:t>2</w:t>
            </w:r>
            <w:r>
              <w:rPr>
                <w:color w:val="auto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周</w:t>
            </w:r>
            <w:r>
              <w:rPr>
                <w:color w:val="000000" w:themeColor="text1"/>
                <w:position w:val="0"/>
                <w:sz w:val="18"/>
                <w:szCs w:val="18"/>
                <w:highlight w:val="yellow"/>
                <w:rFonts w:ascii="宋体" w:eastAsia="Times New Roman" w:hAnsi="Times New Roman" w:hint="default"/>
              </w:rPr>
              <w:t>]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4"/>
          <w:hidden w:val="0"/>
        </w:trPr>
        <w:tc>
          <w:tcPr>
            <w:tcW w:type="dxa" w:w="99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t>指导教师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陈鹏（1,2）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魏茂才（3,4）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石开（5,6）</w:t>
            </w: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陈鹏（1,2）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魏茂才（3,4）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石开（5,6）</w:t>
            </w:r>
          </w:p>
        </w:tc>
        <w:tc>
          <w:tcPr>
            <w:tcW w:type="dxa" w:w="140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陈鹏（1,2）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魏茂才（3,4）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石开（5,6）</w:t>
            </w:r>
          </w:p>
        </w:tc>
        <w:tc>
          <w:tcPr>
            <w:tcW w:type="dxa" w:w="14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薛运才（1,2）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王世卓（3,4）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李俊玉（5,6）</w:t>
            </w:r>
          </w:p>
        </w:tc>
        <w:tc>
          <w:tcPr>
            <w:tcW w:type="dxa" w:w="140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薛运才（1,2）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王世卓（3,4）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薛运才（1,2）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王世卓（3,4）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李俊玉（5,6）</w:t>
            </w:r>
          </w:p>
        </w:tc>
        <w:tc>
          <w:tcPr>
            <w:tcW w:type="dxa" w:w="140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杨阳（1,2）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李涛（3,4）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王伶俐（5,6）</w:t>
            </w: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杨阳（1,2）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李涛（3,4）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王伶俐（5,6）</w:t>
            </w:r>
          </w:p>
        </w:tc>
        <w:tc>
          <w:tcPr>
            <w:tcW w:type="dxa" w:w="140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杨阳（1,2）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李涛（3,4）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18"/>
                <w:szCs w:val="18"/>
                <w:rFonts w:ascii="宋体" w:eastAsia="宋体" w:hAnsi="宋体" w:hint="default"/>
              </w:rPr>
              <w:t>李俊玉</w:t>
            </w:r>
            <w:r>
              <w:rPr>
                <w:color w:val="000000" w:themeColor="text1"/>
                <w:position w:val="0"/>
                <w:sz w:val="18"/>
                <w:szCs w:val="18"/>
                <w:rFonts w:ascii="宋体" w:eastAsia="Times New Roman" w:hAnsi="Times New Roman" w:hint="default"/>
              </w:rPr>
              <w:t>（5,6）</w:t>
            </w:r>
          </w:p>
        </w:tc>
        <w:tc>
          <w:tcPr>
            <w:tcW w:type="dxa" w:w="14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杨阳（1,2）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FC4700"/>
                <w:position w:val="0"/>
                <w:sz w:val="18"/>
                <w:szCs w:val="18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宋体" w:eastAsia="Times New Roman" w:hAnsi="Times New Roman" w:hint="default"/>
              </w:rPr>
              <w:t>李涛（3,4）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3"/>
        </w:numPr>
        <w:jc w:val="both"/>
        <w:spacing w:lineRule="auto" w:line="288" w:before="0" w:after="0"/>
        <w:ind w:right="0" w:left="420" w:hanging="420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Times New Roman" w:hAnsi="Times New Roman" w:hint="default"/>
        </w:rPr>
        <w:t>每班按学号分成六个小组:1-10号为(1)组,11-20号为(2)组,依次类推。如食品17-2班35号学生为III(4)小组，座号为第5号或15号；</w:t>
      </w:r>
    </w:p>
    <w:p>
      <w:pPr>
        <w:pStyle w:val="PO26"/>
        <w:bidi w:val="0"/>
        <w:numPr>
          <w:ilvl w:val="0"/>
          <w:numId w:val="3"/>
        </w:numPr>
        <w:jc w:val="both"/>
        <w:spacing w:lineRule="auto" w:line="240" w:before="0" w:after="0"/>
        <w:ind w:right="0" w:left="420" w:hanging="420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宋体" w:eastAsia="Times New Roman" w:hAnsi="Times New Roman" w:hint="default"/>
        </w:rPr>
        <w:t>合班的后一班同学跟着前一班顺延分组。人数较多（45-51、少于33和多于62）的班级，采取平均分配的原则分组。</w:t>
      </w:r>
    </w:p>
    <w:p>
      <w:pPr>
        <w:numPr>
          <w:ilvl w:val="0"/>
          <w:numId w:val="0"/>
        </w:numPr>
        <w:jc w:val="both"/>
        <w:spacing w:lineRule="auto" w:line="288" w:before="0" w:after="0"/>
        <w:ind w:right="0" w:left="0" w:firstLine="0"/>
        <w:rPr>
          <w:b w:val="1"/>
          <w:color w:val="auto"/>
          <w:position w:val="0"/>
          <w:sz w:val="21"/>
          <w:szCs w:val="21"/>
          <w:rFonts w:ascii="宋体" w:eastAsia="맑은 고딕" w:hAnsi="맑은 고딕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二、实验编号（四教楼实验室房间号）及实验内容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3730" w:type="dxa"/>
        <w:tblInd w:w="714" w:type="dxa"/>
        <w:tblLook w:val="0004A0" w:firstRow="1" w:lastRow="0" w:firstColumn="1" w:lastColumn="0" w:noHBand="0" w:noVBand="1"/>
        <w:tblLayout w:type="fixed"/>
      </w:tblPr>
      <w:tblGrid>
        <w:gridCol w:w="1839"/>
        <w:gridCol w:w="5193"/>
        <w:gridCol w:w="1656"/>
        <w:gridCol w:w="50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83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实验1 （106）</w:t>
            </w:r>
          </w:p>
        </w:tc>
        <w:tc>
          <w:tcPr>
            <w:tcW w:type="dxa" w:w="519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硅光电池特性研究（10套）</w:t>
            </w:r>
          </w:p>
        </w:tc>
        <w:tc>
          <w:tcPr>
            <w:tcW w:type="dxa" w:w="165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实验2（106）</w:t>
            </w:r>
          </w:p>
        </w:tc>
        <w:tc>
          <w:tcPr>
            <w:tcW w:type="dxa" w:w="5042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交流电暂态特性研究（10套）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实验3 （108）</w:t>
            </w:r>
          </w:p>
        </w:tc>
        <w:tc>
          <w:tcPr>
            <w:tcW w:type="dxa" w:w="51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声速的测量（20套）</w:t>
            </w:r>
          </w:p>
        </w:tc>
        <w:tc>
          <w:tcPr>
            <w:tcW w:type="dxa" w:w="16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实验4（207）</w:t>
            </w:r>
          </w:p>
        </w:tc>
        <w:tc>
          <w:tcPr>
            <w:tcW w:type="dxa" w:w="50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光强分布的测量（10套）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实验5 （207）</w:t>
            </w:r>
          </w:p>
        </w:tc>
        <w:tc>
          <w:tcPr>
            <w:tcW w:type="dxa" w:w="51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霍尔效应及其应用（10套）</w:t>
            </w:r>
          </w:p>
        </w:tc>
        <w:tc>
          <w:tcPr>
            <w:tcW w:type="dxa" w:w="16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实验6 （208）</w:t>
            </w:r>
          </w:p>
        </w:tc>
        <w:tc>
          <w:tcPr>
            <w:tcW w:type="dxa" w:w="50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衍射光栅（20套）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实验7（209）</w:t>
            </w:r>
          </w:p>
        </w:tc>
        <w:tc>
          <w:tcPr>
            <w:tcW w:type="dxa" w:w="51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超声波探测及固体弹性模量的测量（10套）</w:t>
            </w:r>
          </w:p>
        </w:tc>
        <w:tc>
          <w:tcPr>
            <w:tcW w:type="dxa" w:w="16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</w:t>
            </w:r>
            <w:r>
              <w:rPr>
                <w:spacing w:val="0"/>
                <w:vertAlign w:val="baseline"/>
                <w:color w:val="auto"/>
                <w:position w:val="0"/>
                <w:sz w:val="21"/>
                <w:szCs w:val="21"/>
                <w:smallCaps w:val="0"/>
                <w:rFonts w:ascii="宋体" w:eastAsia="Times New Roman" w:hAnsi="Times New Roman" w:hint="default"/>
              </w:rPr>
              <w:t>8（209）</w:t>
            </w:r>
          </w:p>
        </w:tc>
        <w:tc>
          <w:tcPr>
            <w:tcW w:type="dxa" w:w="50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电涡流式传感器（10套）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实验9（210）</w:t>
            </w:r>
          </w:p>
        </w:tc>
        <w:tc>
          <w:tcPr>
            <w:tcW w:type="dxa" w:w="51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仿真实验-弗兰克赫兹实验（20套）</w:t>
            </w:r>
          </w:p>
        </w:tc>
        <w:tc>
          <w:tcPr>
            <w:tcW w:type="dxa" w:w="16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实验10（211）</w:t>
            </w:r>
          </w:p>
        </w:tc>
        <w:tc>
          <w:tcPr>
            <w:tcW w:type="dxa" w:w="50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迈克尔逊干涉仪的调整与使用-测薄片厚度（20套）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83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实验11（308）</w:t>
            </w:r>
          </w:p>
        </w:tc>
        <w:tc>
          <w:tcPr>
            <w:tcW w:type="dxa" w:w="519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数字万用表的设计专题实验（10套）</w:t>
            </w:r>
          </w:p>
        </w:tc>
        <w:tc>
          <w:tcPr>
            <w:tcW w:type="dxa" w:w="165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实验12（308）</w:t>
            </w:r>
          </w:p>
        </w:tc>
        <w:tc>
          <w:tcPr>
            <w:tcW w:type="dxa" w:w="50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温度传感器专题实验一 金属热电阻特性实验（</w:t>
            </w:r>
            <w:r>
              <w:rPr>
                <w:color w:val="auto"/>
                <w:position w:val="0"/>
                <w:sz w:val="21"/>
                <w:szCs w:val="21"/>
                <w:rFonts w:ascii="宋体" w:eastAsia="맑은 고딕" w:hAnsi="맑은 고딕" w:hint="default"/>
              </w:rPr>
              <w:t>1</w:t>
            </w: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0套）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83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实验13（309）</w:t>
            </w:r>
          </w:p>
        </w:tc>
        <w:tc>
          <w:tcPr>
            <w:tcW w:type="dxa" w:w="519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杨氏模量实验（10套）  </w:t>
            </w:r>
          </w:p>
        </w:tc>
        <w:tc>
          <w:tcPr>
            <w:tcW w:type="dxa" w:w="165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 xml:space="preserve">实验14 （309）</w:t>
            </w:r>
          </w:p>
        </w:tc>
        <w:tc>
          <w:tcPr>
            <w:tcW w:type="dxa" w:w="50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用霍尔位置传感器测定杨氏模量（10套）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三、循环方式及时间：第</w:t>
      </w:r>
      <w:r>
        <w:rPr>
          <w:b w:val="1"/>
          <w:color w:val="auto"/>
          <w:position w:val="0"/>
          <w:sz w:val="21"/>
          <w:szCs w:val="21"/>
          <w:rFonts w:ascii="宋体" w:eastAsia="맑은 고딕" w:hAnsi="맑은 고딕" w:hint="default"/>
        </w:rPr>
        <w:t>3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周起各班在上课时间按下表循环方式到指定（四教楼）实验室进行循环实验。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413" w:type="dxa"/>
        <w:tblLook w:val="000600" w:firstRow="0" w:lastRow="0" w:firstColumn="0" w:lastColumn="0" w:noHBand="1" w:noVBand="1"/>
        <w:tblLayout w:type="fixed"/>
      </w:tblPr>
      <w:tblGrid>
        <w:gridCol w:w="1080"/>
        <w:gridCol w:w="740"/>
        <w:gridCol w:w="741"/>
        <w:gridCol w:w="741"/>
        <w:gridCol w:w="740"/>
        <w:gridCol w:w="741"/>
        <w:gridCol w:w="741"/>
        <w:gridCol w:w="741"/>
        <w:gridCol w:w="740"/>
        <w:gridCol w:w="741"/>
        <w:gridCol w:w="741"/>
        <w:gridCol w:w="740"/>
        <w:gridCol w:w="741"/>
        <w:gridCol w:w="741"/>
        <w:gridCol w:w="741"/>
        <w:gridCol w:w="740"/>
        <w:gridCol w:w="741"/>
        <w:gridCol w:w="741"/>
        <w:gridCol w:w="741"/>
      </w:tblGrid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房间号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106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108</w:t>
            </w:r>
          </w:p>
        </w:tc>
        <w:tc>
          <w:tcPr>
            <w:tcW w:type="dxa" w:w="148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207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208</w:t>
            </w:r>
          </w:p>
        </w:tc>
        <w:tc>
          <w:tcPr>
            <w:tcW w:type="dxa" w:w="148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209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210</w:t>
            </w:r>
          </w:p>
        </w:tc>
        <w:tc>
          <w:tcPr>
            <w:tcW w:type="dxa" w:w="148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211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308</w:t>
            </w:r>
          </w:p>
        </w:tc>
        <w:tc>
          <w:tcPr>
            <w:tcW w:type="dxa" w:w="148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309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实验项目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2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5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7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8</w:t>
            </w:r>
          </w:p>
        </w:tc>
        <w:tc>
          <w:tcPr>
            <w:tcW w:type="dxa" w:w="1481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9</w:t>
            </w:r>
          </w:p>
        </w:tc>
        <w:tc>
          <w:tcPr>
            <w:tcW w:type="dxa" w:w="1482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10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14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第3周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第4周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第5周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第6周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第7周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第8周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第9周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FF0000"/>
                <w:position w:val="0"/>
                <w:sz w:val="18"/>
                <w:szCs w:val="18"/>
                <w:smallCaps w:val="0"/>
                <w:rFonts w:ascii="Times New Roman" w:eastAsia="宋体" w:hAnsi="宋体" w:hint="default"/>
              </w:rPr>
              <w:t>Ⅰ6</w:t>
            </w:r>
          </w:p>
        </w:tc>
      </w:tr>
      <w:tr>
        <w:trPr>
          <w:hidden w:val="0"/>
        </w:trPr>
        <w:tc>
          <w:tcPr>
            <w:tcW w:type="dxa" w:w="108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第10周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Ⅱ1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Ⅱ5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Ⅱ6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Ⅲ2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Ⅲ4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Ⅲ5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Ⅲ6</w:t>
            </w:r>
          </w:p>
        </w:tc>
        <w:tc>
          <w:tcPr>
            <w:tcW w:type="dxa" w:w="74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Ⅰ1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Ⅰ2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Ⅰ3</w:t>
            </w:r>
          </w:p>
        </w:tc>
        <w:tc>
          <w:tcPr>
            <w:tcW w:type="dxa" w:w="7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left="0" w:firstLine="0"/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Times New Roman" w:eastAsia="宋体" w:hAnsi="宋体" w:hint="default"/>
              </w:rPr>
              <w:t>Ⅰ4</w:t>
            </w:r>
          </w:p>
        </w:tc>
      </w:tr>
    </w:tbl>
    <w:p>
      <w:pPr>
        <w:pStyle w:val="PO26"/>
        <w:bidi w:val="0"/>
        <w:numPr>
          <w:ilvl w:val="0"/>
          <w:numId w:val="4"/>
        </w:numPr>
        <w:jc w:val="both"/>
        <w:spacing w:lineRule="auto" w:line="240" w:before="0" w:after="0"/>
        <w:ind w:left="855" w:right="0" w:hanging="420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因实习所缺实验项目安排在11-14周补做。具体内容查阅本循环表中对应实习周次的实验项目。</w:t>
      </w:r>
    </w:p>
    <w:p>
      <w:pPr>
        <w:pStyle w:val="PO26"/>
        <w:bidi w:val="0"/>
        <w:numPr>
          <w:ilvl w:val="0"/>
          <w:numId w:val="4"/>
        </w:numPr>
        <w:jc w:val="both"/>
        <w:spacing w:lineRule="auto" w:line="240" w:before="0" w:after="0"/>
        <w:ind w:left="855" w:right="0" w:hanging="420"/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冬令时：上午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8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：00-1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30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，下午14：30-1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7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00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，晚上18：30-2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1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 xml:space="preserve">00   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夏令时：上午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8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：00-1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30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，下午15：00-17：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30</w:t>
      </w:r>
      <w:r>
        <w:rPr>
          <w:b w:val="1"/>
          <w:color w:val="auto"/>
          <w:position w:val="0"/>
          <w:sz w:val="21"/>
          <w:szCs w:val="21"/>
          <w:rFonts w:ascii="宋体" w:eastAsia="宋体" w:hAnsi="宋体" w:hint="default"/>
        </w:rPr>
        <w:t>，晚上19：00-21：</w:t>
      </w: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30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1"/>
          <w:color w:val="auto"/>
          <w:position w:val="0"/>
          <w:sz w:val="21"/>
          <w:szCs w:val="21"/>
          <w:rFonts w:ascii="宋体" w:eastAsia="等线" w:hAnsi="等线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宋体" w:eastAsia="Times New Roman" w:hAnsi="Times New Roman" w:hint="default"/>
        </w:rPr>
        <w:t>四:注意事项</w:t>
      </w:r>
      <w:r>
        <w:rPr>
          <w:b w:val="1"/>
          <w:color w:val="auto"/>
          <w:position w:val="0"/>
          <w:sz w:val="21"/>
          <w:szCs w:val="21"/>
          <w:rFonts w:ascii="宋体" w:eastAsia="等线" w:hAnsi="等线" w:hint="defau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宋体" w:eastAsia="Times New Roman" w:hAnsi="Times New Roman" w:hint="default"/>
        </w:rPr>
        <w:t xml:space="preserve">1.进实验室开始实验之前必须做好预习，撰写预习报告（同时列好原始数据表格）、并完成网上预习的练习测验题；未做好预习，不得进入实验室实验，所缺实验项目按零分计；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宋体" w:eastAsia="Times New Roman" w:hAnsi="Times New Roman" w:hint="default"/>
        </w:rPr>
        <w:t>2.原始数据不能用铅笔书写,必须有任课教师的签字；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宋体" w:eastAsia="Times New Roman" w:hAnsi="Times New Roman" w:hint="default"/>
        </w:rPr>
        <w:t>3.因法定节假日所缺课程不补，按课表跳过所缺实验(严格按课表上课)；因事假或病假所缺课程及时找老师补上；因迟到、旷课等所缺课程一概不补，所缺实验项目按零分计；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宋体" w:eastAsia="Times New Roman" w:hAnsi="Times New Roman" w:hint="default"/>
        </w:rPr>
        <w:t xml:space="preserve">4.有实习的班级，实习期间，按循环课表跳过该项目，最后延长两周单独安排补课。本地实习期间，晚上的实验课不停； </w:t>
      </w:r>
    </w:p>
    <w:p>
      <w:pPr>
        <w:numPr>
          <w:ilvl w:val="0"/>
          <w:numId w:val="0"/>
        </w:numPr>
        <w:jc w:val="both"/>
        <w:spacing w:lineRule="auto" w:line="288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宋体" w:eastAsia="Times New Roman" w:hAnsi="Times New Roman" w:hint="default"/>
        </w:rPr>
        <w:t xml:space="preserve">5. 至少提前十分钟进实验室签到，按照学号顺序对应座号对号入座！</w:t>
      </w:r>
    </w:p>
    <w:p>
      <w:pPr>
        <w:numPr>
          <w:ilvl w:val="0"/>
          <w:numId w:val="0"/>
        </w:numPr>
        <w:jc w:val="both"/>
        <w:spacing w:lineRule="auto" w:line="288" w:before="0" w:after="0"/>
        <w:ind w:left="435" w:right="0" w:firstLine="0"/>
        <w:rPr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left="0" w:firstLine="0"/>
        <w:rPr>
          <w:b w:val="1"/>
          <w:color w:val="0D0D0D"/>
          <w:position w:val="0"/>
          <w:sz w:val="21"/>
          <w:szCs w:val="21"/>
          <w:rFonts w:ascii="宋体" w:eastAsia="Times New Roman" w:hAnsi="Times New Roman" w:hint="default"/>
        </w:rPr>
        <w:autoSpaceDE w:val="1"/>
        <w:autoSpaceDN w:val="1"/>
      </w:pPr>
    </w:p>
    <w:sectPr>
      <w:footerReference w:type="even" r:id="rId5"/>
      <w:footerReference w:type="default" r:id="rId6"/>
      <w:pgSz w:w="16838" w:h="11906" w:orient="landscape"/>
      <w:pgMar w:top="454" w:left="1021" w:bottom="227" w:right="1021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left"/>
      <w:spacing w:lineRule="auto" w:line="240" w:before="0" w:after="0"/>
      <w:ind w:right="0" w:lef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rStyle w:val="PO152"/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t>1</w:t>
    </w: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</w:p>
  <w:p>
    <w:pPr>
      <w:pStyle w:val="PO153"/>
      <w:numPr>
        <w:ilvl w:val="0"/>
        <w:numId w:val="0"/>
      </w:numPr>
      <w:jc w:val="left"/>
      <w:spacing w:lineRule="auto" w:line="240" w:before="0" w:after="0"/>
      <w:ind w:right="360" w:lef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ind w:right="360" w:lef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t xml:space="preserve"> </w:t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  <w:rFonts w:hint="eastAsia"/>
      </w:rPr>
      <w:instrText>PAGE \* Arabic \* MERGEFORMAT</w:instrText>
    </w:r>
    <w:r>
      <w:fldChar w:fldCharType="separate"/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t>1</w:t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  <w:r>
      <w:rPr>
        <w:color w:val="auto"/>
        <w:position w:val="0"/>
        <w:sz w:val="18"/>
        <w:szCs w:val="18"/>
        <w:rFonts w:ascii="Times New Roman" w:eastAsia="Times New Roman" w:hAnsi="Times New Roman" w:hint="default"/>
      </w:rPr>
      <w:t xml:space="preserve"> / </w:t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  <w:rFonts w:hint="eastAsia"/>
      </w:rPr>
      <w:instrText>NUMPAGES \* Arabic \* MERGEFORMAT</w:instrText>
    </w:r>
    <w:r>
      <w:fldChar w:fldCharType="separate"/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t>2</w:t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  <w:r>
      <w:rPr>
        <w:b w:val="1"/>
        <w:color w:val="auto"/>
        <w:position w:val="0"/>
        <w:sz w:val="18"/>
        <w:szCs w:val="18"/>
        <w:rFonts w:ascii="Times New Roman" w:eastAsia="Times New Roman" w:hAnsi="Times New Roman" w:hint="default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tab"/>
      <w:pPr>
        <w:ind w:left="42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</w:pPr>
      <w:rPr>
        <w:rFonts w:ascii="Wingdings" w:eastAsia="Wingdings" w:hAnsi="Wingdings"/>
        <w:shd w:val="clear" w:color="000000"/>
        <w:sz w:val="20"/>
        <w:szCs w:val="20"/>
        <w:w w:val="100"/>
      </w:rPr>
      <w:lvlText w:val="u"/>
    </w:lvl>
  </w:abstractNum>
  <w:abstractNum w:abstractNumId="1">
    <w:multiLevelType w:val="multilevel"/>
    <w:nsid w:val="2F000001"/>
    <w:tmpl w:val="1F002411"/>
    <w:lvl w:ilvl="0">
      <w:lvlJc w:val="left"/>
      <w:numFmt w:val="japaneseCounting"/>
      <w:start w:val="1"/>
      <w:suff w:val="tab"/>
      <w:pPr>
        <w:ind w:left="450" w:hanging="450"/>
        <w:jc w:val="both"/>
      </w:pPr>
      <w:rPr>
        <w:shd w:val="clear" w:color="000000"/>
        <w:sz w:val="20"/>
        <w:szCs w:val="20"/>
        <w:w w:val="100"/>
      </w:rPr>
      <w:lvlText w:val="%1．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1"/>
      <w:suff w:val="tab"/>
      <w:pPr>
        <w:ind w:left="795" w:hanging="360"/>
        <w:jc w:val="both"/>
        <w:tabs>
          <w:tab w:val="left" w:pos="795"/>
        </w:tabs>
      </w:pPr>
      <w:rPr>
        <w:shd w:val="clear" w:color="000000"/>
        <w:sz w:val="20"/>
        <w:szCs w:val="20"/>
        <w:w w:val="100"/>
      </w:rPr>
      <w:lvlText w:val="%1．"/>
    </w:lvl>
    <w:lvl w:ilvl="1">
      <w:lvlJc w:val="left"/>
      <w:numFmt w:val="lowerLetter"/>
      <w:start w:val="1"/>
      <w:suff w:val="tab"/>
      <w:pPr>
        <w:ind w:left="1275" w:hanging="420"/>
        <w:jc w:val="both"/>
        <w:tabs>
          <w:tab w:val="left" w:pos="1275"/>
        </w:tabs>
      </w:pPr>
      <w:lvlText w:val="%2)"/>
    </w:lvl>
    <w:lvl w:ilvl="2">
      <w:lvlJc w:val="right"/>
      <w:numFmt w:val="lowerRoman"/>
      <w:start w:val="1"/>
      <w:suff w:val="tab"/>
      <w:pPr>
        <w:ind w:left="1695" w:hanging="420"/>
        <w:jc w:val="both"/>
        <w:tabs>
          <w:tab w:val="left" w:pos="1695"/>
        </w:tabs>
      </w:pPr>
      <w:lvlText w:val="%3."/>
    </w:lvl>
    <w:lvl w:ilvl="3">
      <w:lvlJc w:val="left"/>
      <w:numFmt w:val="decimal"/>
      <w:start w:val="1"/>
      <w:suff w:val="tab"/>
      <w:pPr>
        <w:ind w:left="2115" w:hanging="420"/>
        <w:jc w:val="both"/>
        <w:tabs>
          <w:tab w:val="left" w:pos="2115"/>
        </w:tabs>
      </w:pPr>
      <w:lvlText w:val="%4."/>
    </w:lvl>
    <w:lvl w:ilvl="4">
      <w:lvlJc w:val="left"/>
      <w:numFmt w:val="lowerLetter"/>
      <w:start w:val="1"/>
      <w:suff w:val="tab"/>
      <w:pPr>
        <w:ind w:left="2535" w:hanging="420"/>
        <w:jc w:val="both"/>
        <w:tabs>
          <w:tab w:val="left" w:pos="2535"/>
        </w:tabs>
      </w:pPr>
      <w:lvlText w:val="%5)"/>
    </w:lvl>
    <w:lvl w:ilvl="5">
      <w:lvlJc w:val="right"/>
      <w:numFmt w:val="lowerRoman"/>
      <w:start w:val="1"/>
      <w:suff w:val="tab"/>
      <w:pPr>
        <w:ind w:left="2955" w:hanging="420"/>
        <w:jc w:val="both"/>
        <w:tabs>
          <w:tab w:val="left" w:pos="2955"/>
        </w:tabs>
      </w:pPr>
      <w:lvlText w:val="%6."/>
    </w:lvl>
    <w:lvl w:ilvl="6">
      <w:lvlJc w:val="left"/>
      <w:numFmt w:val="decimal"/>
      <w:start w:val="1"/>
      <w:suff w:val="tab"/>
      <w:pPr>
        <w:ind w:left="3375" w:hanging="420"/>
        <w:jc w:val="both"/>
        <w:tabs>
          <w:tab w:val="left" w:pos="3375"/>
        </w:tabs>
      </w:pPr>
      <w:lvlText w:val="%7."/>
    </w:lvl>
    <w:lvl w:ilvl="7">
      <w:lvlJc w:val="left"/>
      <w:numFmt w:val="lowerLetter"/>
      <w:start w:val="1"/>
      <w:suff w:val="tab"/>
      <w:pPr>
        <w:ind w:left="3795" w:hanging="420"/>
        <w:jc w:val="both"/>
        <w:tabs>
          <w:tab w:val="left" w:pos="3795"/>
        </w:tabs>
      </w:pPr>
      <w:lvlText w:val="%8)"/>
    </w:lvl>
    <w:lvl w:ilvl="8">
      <w:lvlJc w:val="right"/>
      <w:numFmt w:val="lowerRoman"/>
      <w:start w:val="1"/>
      <w:suff w:val="tab"/>
      <w:pPr>
        <w:ind w:left="4215" w:hanging="420"/>
        <w:jc w:val="both"/>
        <w:tabs>
          <w:tab w:val="left" w:pos="4215"/>
        </w:tabs>
      </w:pPr>
      <w:lvlText w:val="%9."/>
    </w:lvl>
  </w:abstractNum>
  <w:abstractNum w:abstractNumId="3">
    <w:multiLevelType w:val="hybridMultilevel"/>
    <w:nsid w:val="2F000003"/>
    <w:tmpl w:val="1F0033C2"/>
    <w:lvl w:ilvl="0">
      <w:lvlJc w:val="left"/>
      <w:numFmt w:val="bullet"/>
      <w:start w:val="1"/>
      <w:suff w:val="tab"/>
      <w:pPr>
        <w:ind w:left="85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127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9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11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53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95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37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79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215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0"/>
        <w:right w:type="dxa" w:w="0"/>
        <w:top w:type="dxa" w:w="0"/>
      </w:tblCellMar>
    </w:tblPr>
  </w:style>
  <w:style w:styleId="PO152" w:type="character">
    <w:name w:val="page number"/>
    <w:basedOn w:val="PO2"/>
    <w:uiPriority w:val="152"/>
  </w:style>
  <w:style w:styleId="PO153" w:type="paragraph">
    <w:name w:val="footer"/>
    <w:basedOn w:val="PO1"/>
    <w:link w:val="PO159"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link w:val="PO155"/>
    <w:uiPriority w:val="154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眉 字符"/>
    <w:link w:val="PO154"/>
    <w:uiPriority w:val="155"/>
    <w:rPr>
      <w:shd w:val="clear" w:color="000000"/>
      <w:sz w:val="18"/>
      <w:szCs w:val="18"/>
      <w:w w:val="100"/>
    </w:rPr>
  </w:style>
  <w:style w:styleId="PO156" w:type="paragraph">
    <w:name w:val="Normal (Web)"/>
    <w:basedOn w:val="PO1"/>
    <w:uiPriority w:val="156"/>
    <w:unhideWhenUsed/>
    <w:rPr>
      <w:rFonts w:ascii="宋体" w:eastAsia="宋体" w:hAnsi="宋体"/>
      <w:shd w:val="clear"/>
      <w:sz w:val="24"/>
      <w:szCs w:val="24"/>
      <w:w w:val="100"/>
    </w:rPr>
  </w:style>
  <w:style w:styleId="PO157" w:type="paragraph">
    <w:name w:val="Balloon Text"/>
    <w:basedOn w:val="PO1"/>
    <w:link w:val="PO158"/>
    <w:uiPriority w:val="157"/>
    <w:rPr>
      <w:shd w:val="clear"/>
      <w:sz w:val="18"/>
      <w:szCs w:val="18"/>
      <w:w w:val="100"/>
    </w:rPr>
  </w:style>
  <w:style w:customStyle="1" w:styleId="PO158" w:type="character">
    <w:name w:val="批注框文本 字符"/>
    <w:basedOn w:val="PO2"/>
    <w:link w:val="PO157"/>
    <w:uiPriority w:val="158"/>
    <w:rPr>
      <w:shd w:val="clear" w:color="000000"/>
      <w:sz w:val="18"/>
      <w:szCs w:val="18"/>
      <w:w w:val="100"/>
    </w:rPr>
  </w:style>
  <w:style w:customStyle="1" w:styleId="PO159" w:type="character">
    <w:name w:val="页脚 字符"/>
    <w:basedOn w:val="PO2"/>
    <w:link w:val="PO153"/>
    <w:uiPriority w:val="159"/>
    <w:rPr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41</Lines>
  <LinksUpToDate>false</LinksUpToDate>
  <Pages>2</Pages>
  <Paragraphs>11</Paragraphs>
  <Words>877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NTKO</dc:creator>
  <cp:lastModifiedBy/>
  <dc:title>2016-2017学年第二学期《物理实验2》课程表（科学校区）</dc:title>
  <dcterms:modified xsi:type="dcterms:W3CDTF">2019-02-24T08:24:00Z</dcterms:modified>
</cp:coreProperties>
</file>